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D8" w:rsidRDefault="007F07D8" w:rsidP="007F07D8">
      <w:pPr>
        <w:jc w:val="center"/>
        <w:rPr>
          <w:b/>
          <w:u w:val="single"/>
        </w:rPr>
      </w:pPr>
      <w:r w:rsidRPr="007F07D8">
        <w:rPr>
          <w:b/>
          <w:noProof/>
          <w:lang w:eastAsia="en-GB"/>
        </w:rPr>
        <w:drawing>
          <wp:inline distT="0" distB="0" distL="0" distR="0">
            <wp:extent cx="1695450" cy="172944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son-logo-circle-text-white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49" cy="17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7D8" w:rsidRDefault="007F07D8" w:rsidP="009801E6">
      <w:pPr>
        <w:rPr>
          <w:b/>
          <w:u w:val="single"/>
        </w:rPr>
      </w:pPr>
    </w:p>
    <w:p w:rsidR="009801E6" w:rsidRDefault="009801E6" w:rsidP="007F07D8">
      <w:pPr>
        <w:jc w:val="center"/>
        <w:rPr>
          <w:b/>
          <w:u w:val="single"/>
        </w:rPr>
      </w:pPr>
      <w:r w:rsidRPr="00670B48">
        <w:rPr>
          <w:b/>
          <w:u w:val="single"/>
        </w:rPr>
        <w:t>Pupil Premium</w:t>
      </w:r>
      <w:r>
        <w:rPr>
          <w:b/>
          <w:u w:val="single"/>
        </w:rPr>
        <w:t xml:space="preserve"> Impact Statement 2018-19</w:t>
      </w:r>
    </w:p>
    <w:tbl>
      <w:tblPr>
        <w:tblW w:w="0" w:type="auto"/>
        <w:jc w:val="center"/>
        <w:tblBorders>
          <w:top w:val="single" w:sz="6" w:space="0" w:color="233C67"/>
          <w:left w:val="single" w:sz="6" w:space="0" w:color="233C67"/>
          <w:bottom w:val="single" w:sz="6" w:space="0" w:color="233C67"/>
          <w:right w:val="single" w:sz="6" w:space="0" w:color="233C67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8"/>
        <w:gridCol w:w="986"/>
      </w:tblGrid>
      <w:tr w:rsidR="009801E6" w:rsidRPr="00772C16" w:rsidTr="007F07D8">
        <w:trPr>
          <w:jc w:val="center"/>
        </w:trPr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333333"/>
                <w:lang w:eastAsia="en-GB"/>
              </w:rPr>
              <w:t>Overview</w:t>
            </w:r>
          </w:p>
        </w:tc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</w:p>
        </w:tc>
      </w:tr>
      <w:tr w:rsidR="009801E6" w:rsidRPr="00772C16" w:rsidTr="007F07D8">
        <w:trPr>
          <w:jc w:val="center"/>
        </w:trPr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 w:rsidRPr="00772C16">
              <w:rPr>
                <w:rFonts w:eastAsia="Times New Roman" w:cs="Tahoma"/>
                <w:color w:val="333333"/>
                <w:lang w:eastAsia="en-GB"/>
              </w:rPr>
              <w:t xml:space="preserve">Pupils </w:t>
            </w:r>
            <w:r>
              <w:rPr>
                <w:rFonts w:eastAsia="Times New Roman" w:cs="Tahoma"/>
                <w:color w:val="333333"/>
                <w:lang w:eastAsia="en-GB"/>
              </w:rPr>
              <w:t>on roll</w:t>
            </w:r>
          </w:p>
        </w:tc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>
              <w:rPr>
                <w:rFonts w:eastAsia="Times New Roman" w:cs="Tahoma"/>
                <w:color w:val="333333"/>
                <w:lang w:eastAsia="en-GB"/>
              </w:rPr>
              <w:t>835</w:t>
            </w:r>
          </w:p>
        </w:tc>
      </w:tr>
      <w:tr w:rsidR="009801E6" w:rsidRPr="00772C16" w:rsidTr="007F07D8">
        <w:trPr>
          <w:jc w:val="center"/>
        </w:trPr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>
              <w:rPr>
                <w:rFonts w:eastAsia="Times New Roman" w:cs="Tahoma"/>
                <w:color w:val="333333"/>
                <w:lang w:eastAsia="en-GB"/>
              </w:rPr>
              <w:t>Number of pupils eligible for pupil premium</w:t>
            </w:r>
          </w:p>
        </w:tc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>
              <w:rPr>
                <w:rFonts w:eastAsia="Times New Roman" w:cs="Tahoma"/>
                <w:color w:val="333333"/>
                <w:lang w:eastAsia="en-GB"/>
              </w:rPr>
              <w:t>231</w:t>
            </w:r>
          </w:p>
        </w:tc>
      </w:tr>
      <w:tr w:rsidR="009801E6" w:rsidRPr="00772C16" w:rsidTr="007F07D8">
        <w:trPr>
          <w:jc w:val="center"/>
        </w:trPr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>
              <w:rPr>
                <w:rFonts w:eastAsia="Times New Roman" w:cs="Tahoma"/>
                <w:color w:val="333333"/>
                <w:lang w:eastAsia="en-GB"/>
              </w:rPr>
              <w:t>% of pupils eligible for pupil premium</w:t>
            </w:r>
          </w:p>
        </w:tc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>
              <w:rPr>
                <w:rFonts w:eastAsia="Times New Roman" w:cs="Tahoma"/>
                <w:color w:val="333333"/>
                <w:lang w:eastAsia="en-GB"/>
              </w:rPr>
              <w:t>28%</w:t>
            </w:r>
          </w:p>
        </w:tc>
      </w:tr>
      <w:tr w:rsidR="009801E6" w:rsidRPr="00772C16" w:rsidTr="007F07D8">
        <w:trPr>
          <w:jc w:val="center"/>
        </w:trPr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>
              <w:rPr>
                <w:rFonts w:eastAsia="Times New Roman" w:cs="Tahoma"/>
                <w:color w:val="333333"/>
                <w:lang w:eastAsia="en-GB"/>
              </w:rPr>
              <w:t>Total amount</w:t>
            </w:r>
          </w:p>
        </w:tc>
        <w:tc>
          <w:tcPr>
            <w:tcW w:w="0" w:type="auto"/>
            <w:tcBorders>
              <w:top w:val="single" w:sz="6" w:space="0" w:color="233C67"/>
              <w:left w:val="single" w:sz="6" w:space="0" w:color="233C67"/>
              <w:bottom w:val="single" w:sz="6" w:space="0" w:color="233C67"/>
              <w:right w:val="single" w:sz="6" w:space="0" w:color="233C6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1E6" w:rsidRPr="00772C16" w:rsidRDefault="009801E6" w:rsidP="007F07D8">
            <w:pPr>
              <w:spacing w:after="0" w:line="240" w:lineRule="auto"/>
              <w:jc w:val="center"/>
              <w:rPr>
                <w:rFonts w:eastAsia="Times New Roman" w:cs="Tahoma"/>
                <w:color w:val="333333"/>
                <w:lang w:eastAsia="en-GB"/>
              </w:rPr>
            </w:pPr>
            <w:r w:rsidRPr="00772C16">
              <w:rPr>
                <w:rFonts w:eastAsia="Times New Roman" w:cs="Tahoma"/>
                <w:color w:val="333333"/>
                <w:lang w:eastAsia="en-GB"/>
              </w:rPr>
              <w:t>£304,920</w:t>
            </w:r>
          </w:p>
        </w:tc>
      </w:tr>
    </w:tbl>
    <w:p w:rsidR="009801E6" w:rsidRPr="00670B48" w:rsidRDefault="009801E6" w:rsidP="007F07D8">
      <w:pPr>
        <w:jc w:val="center"/>
        <w:rPr>
          <w:b/>
          <w:u w:val="single"/>
        </w:rPr>
      </w:pPr>
    </w:p>
    <w:p w:rsidR="009801E6" w:rsidRPr="00670B48" w:rsidRDefault="009801E6" w:rsidP="009801E6">
      <w:pPr>
        <w:rPr>
          <w:b/>
          <w:u w:val="single"/>
        </w:rPr>
      </w:pPr>
      <w:r w:rsidRPr="00670B48">
        <w:rPr>
          <w:b/>
          <w:u w:val="single"/>
        </w:rPr>
        <w:t xml:space="preserve">Expenditure </w:t>
      </w:r>
    </w:p>
    <w:p w:rsidR="009801E6" w:rsidRPr="00670B48" w:rsidRDefault="009801E6" w:rsidP="009801E6">
      <w:pPr>
        <w:pStyle w:val="ListParagraph"/>
        <w:numPr>
          <w:ilvl w:val="0"/>
          <w:numId w:val="1"/>
        </w:numPr>
      </w:pPr>
      <w:r w:rsidRPr="00772C16">
        <w:rPr>
          <w:rFonts w:eastAsia="Times New Roman" w:cs="Tahoma"/>
          <w:color w:val="333333"/>
          <w:lang w:eastAsia="en-GB"/>
        </w:rPr>
        <w:t>Increase pastoral support</w:t>
      </w:r>
      <w:r>
        <w:rPr>
          <w:rFonts w:eastAsia="Times New Roman" w:cs="Tahoma"/>
          <w:color w:val="333333"/>
          <w:lang w:eastAsia="en-GB"/>
        </w:rPr>
        <w:t xml:space="preserve"> – EYFS TAs, Pastoral Support Worker, </w:t>
      </w:r>
      <w:proofErr w:type="spellStart"/>
      <w:r>
        <w:rPr>
          <w:rFonts w:eastAsia="Times New Roman" w:cs="Tahoma"/>
          <w:color w:val="333333"/>
          <w:lang w:eastAsia="en-GB"/>
        </w:rPr>
        <w:t>Headstart</w:t>
      </w:r>
      <w:proofErr w:type="spellEnd"/>
      <w:r>
        <w:rPr>
          <w:rFonts w:eastAsia="Times New Roman" w:cs="Tahoma"/>
          <w:color w:val="333333"/>
          <w:lang w:eastAsia="en-GB"/>
        </w:rPr>
        <w:t xml:space="preserve"> programme, uniform,</w:t>
      </w:r>
      <w:r w:rsidRPr="00914BF7">
        <w:rPr>
          <w:rFonts w:eastAsia="Times New Roman" w:cs="Tahoma"/>
          <w:color w:val="333333"/>
          <w:lang w:eastAsia="en-GB"/>
        </w:rPr>
        <w:t xml:space="preserve"> </w:t>
      </w:r>
      <w:r>
        <w:rPr>
          <w:rFonts w:eastAsia="Times New Roman" w:cs="Tahoma"/>
          <w:color w:val="333333"/>
          <w:lang w:eastAsia="en-GB"/>
        </w:rPr>
        <w:t>breakfast club places</w:t>
      </w:r>
    </w:p>
    <w:p w:rsidR="009801E6" w:rsidRPr="00914BF7" w:rsidRDefault="009801E6" w:rsidP="009801E6">
      <w:pPr>
        <w:pStyle w:val="ListParagraph"/>
        <w:numPr>
          <w:ilvl w:val="0"/>
          <w:numId w:val="1"/>
        </w:numPr>
      </w:pPr>
      <w:r w:rsidRPr="00772C16">
        <w:rPr>
          <w:rFonts w:eastAsia="Times New Roman" w:cs="Tahoma"/>
          <w:color w:val="333333"/>
          <w:lang w:eastAsia="en-GB"/>
        </w:rPr>
        <w:t>Raising Attainment</w:t>
      </w:r>
      <w:r>
        <w:rPr>
          <w:rFonts w:eastAsia="Times New Roman" w:cs="Tahoma"/>
          <w:color w:val="333333"/>
          <w:lang w:eastAsia="en-GB"/>
        </w:rPr>
        <w:t xml:space="preserve"> – HLTA, Booster groups, Easter School (year 6), ESP places, , c</w:t>
      </w:r>
      <w:r w:rsidRPr="00772C16">
        <w:rPr>
          <w:rFonts w:eastAsia="Times New Roman" w:cs="Tahoma"/>
          <w:color w:val="333333"/>
          <w:lang w:eastAsia="en-GB"/>
        </w:rPr>
        <w:t>ontribution to additional teachers in years 5 and 6</w:t>
      </w:r>
      <w:r>
        <w:rPr>
          <w:rFonts w:eastAsia="Times New Roman" w:cs="Tahoma"/>
          <w:color w:val="333333"/>
          <w:lang w:eastAsia="en-GB"/>
        </w:rPr>
        <w:t xml:space="preserve">, Speech and Language Therapist (1 day per week), accelerated reader, </w:t>
      </w:r>
      <w:proofErr w:type="spellStart"/>
      <w:r>
        <w:rPr>
          <w:rFonts w:eastAsia="Times New Roman" w:cs="Tahoma"/>
          <w:color w:val="333333"/>
          <w:lang w:eastAsia="en-GB"/>
        </w:rPr>
        <w:t>mathletics</w:t>
      </w:r>
      <w:proofErr w:type="spellEnd"/>
      <w:r>
        <w:rPr>
          <w:rFonts w:eastAsia="Times New Roman" w:cs="Tahoma"/>
          <w:color w:val="333333"/>
          <w:lang w:eastAsia="en-GB"/>
        </w:rPr>
        <w:t xml:space="preserve">, </w:t>
      </w:r>
    </w:p>
    <w:p w:rsidR="009801E6" w:rsidRPr="00914BF7" w:rsidRDefault="009801E6" w:rsidP="009801E6">
      <w:pPr>
        <w:pStyle w:val="ListParagraph"/>
        <w:numPr>
          <w:ilvl w:val="0"/>
          <w:numId w:val="1"/>
        </w:numPr>
      </w:pPr>
      <w:r>
        <w:rPr>
          <w:rFonts w:eastAsia="Times New Roman" w:cs="Tahoma"/>
          <w:color w:val="333333"/>
          <w:lang w:eastAsia="en-GB"/>
        </w:rPr>
        <w:t xml:space="preserve">Raising Aspirations - </w:t>
      </w:r>
      <w:r w:rsidRPr="00772C16">
        <w:rPr>
          <w:rFonts w:eastAsia="Times New Roman" w:cs="Tahoma"/>
          <w:color w:val="333333"/>
          <w:lang w:eastAsia="en-GB"/>
        </w:rPr>
        <w:t>Music exams</w:t>
      </w:r>
      <w:r>
        <w:rPr>
          <w:rFonts w:eastAsia="Times New Roman" w:cs="Tahoma"/>
          <w:color w:val="333333"/>
          <w:lang w:eastAsia="en-GB"/>
        </w:rPr>
        <w:t xml:space="preserve">, </w:t>
      </w:r>
      <w:r w:rsidRPr="00914BF7">
        <w:rPr>
          <w:rFonts w:eastAsia="Times New Roman" w:cs="Tahoma"/>
          <w:color w:val="333333"/>
          <w:lang w:eastAsia="en-GB"/>
        </w:rPr>
        <w:t xml:space="preserve"> </w:t>
      </w:r>
      <w:r w:rsidRPr="00772C16">
        <w:rPr>
          <w:rFonts w:eastAsia="Times New Roman" w:cs="Tahoma"/>
          <w:color w:val="333333"/>
          <w:lang w:eastAsia="en-GB"/>
        </w:rPr>
        <w:t>The Brilliant Club</w:t>
      </w:r>
      <w:r>
        <w:rPr>
          <w:rFonts w:eastAsia="Times New Roman" w:cs="Tahoma"/>
          <w:color w:val="333333"/>
          <w:lang w:eastAsia="en-GB"/>
        </w:rPr>
        <w:t xml:space="preserve"> (Scholar’s Programme), Poetry Retreat</w:t>
      </w:r>
    </w:p>
    <w:p w:rsidR="009801E6" w:rsidRPr="00914BF7" w:rsidRDefault="009801E6" w:rsidP="009801E6">
      <w:pPr>
        <w:pStyle w:val="ListParagraph"/>
        <w:numPr>
          <w:ilvl w:val="0"/>
          <w:numId w:val="1"/>
        </w:numPr>
      </w:pPr>
      <w:r>
        <w:rPr>
          <w:rFonts w:eastAsia="Times New Roman" w:cs="Tahoma"/>
          <w:color w:val="333333"/>
          <w:lang w:eastAsia="en-GB"/>
        </w:rPr>
        <w:t>Milk for all</w:t>
      </w:r>
    </w:p>
    <w:p w:rsidR="009801E6" w:rsidRDefault="009801E6" w:rsidP="009801E6">
      <w:pPr>
        <w:rPr>
          <w:b/>
          <w:u w:val="single"/>
        </w:rPr>
      </w:pPr>
      <w:r w:rsidRPr="00914BF7">
        <w:rPr>
          <w:b/>
          <w:u w:val="single"/>
        </w:rPr>
        <w:t>Impact</w:t>
      </w:r>
    </w:p>
    <w:p w:rsidR="009801E6" w:rsidRDefault="009801E6" w:rsidP="009801E6">
      <w:r>
        <w:t xml:space="preserve">The gap between pupils eligible and those that are not has narrowed. In years R – 5, pupils eligible for pupil premium are performing either above or at the same level as those without in reading, writing and maths.  Only in year 6 was there still a gap between the two groups for reading and writing. However, it should be noted that the pupil premium pupils in year 6 were above national average for reading and well above national average for maths. </w:t>
      </w:r>
    </w:p>
    <w:p w:rsidR="009801E6" w:rsidRPr="00914BF7" w:rsidRDefault="009801E6" w:rsidP="009801E6"/>
    <w:p w:rsidR="00F60DA1" w:rsidRDefault="00F60DA1"/>
    <w:sectPr w:rsidR="00F6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8009F"/>
    <w:multiLevelType w:val="hybridMultilevel"/>
    <w:tmpl w:val="28EE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E6"/>
    <w:rsid w:val="005500F3"/>
    <w:rsid w:val="007F07D8"/>
    <w:rsid w:val="009801E6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6435"/>
  <w15:chartTrackingRefBased/>
  <w15:docId w15:val="{F73F8E77-97B9-4FCF-A65A-6E445FD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Joanna Cull</cp:lastModifiedBy>
  <cp:revision>2</cp:revision>
  <cp:lastPrinted>2020-02-06T10:40:00Z</cp:lastPrinted>
  <dcterms:created xsi:type="dcterms:W3CDTF">2019-11-18T21:03:00Z</dcterms:created>
  <dcterms:modified xsi:type="dcterms:W3CDTF">2020-02-06T10:59:00Z</dcterms:modified>
</cp:coreProperties>
</file>